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aa2cfbc" w14:textId="aa2cfbc">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5571B9"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3F37BA">
              <w:rPr>
                <w:rFonts w:ascii="Arial" w:hAnsi="Arial" w:cs="Arial"/>
              </w:rPr>
              <w:t>499</w:t>
            </w:r>
            <w:r w:rsidRPr="00E32E7B" w:rsidR="00340399">
              <w:rPr>
                <w:rFonts w:ascii="Arial" w:hAnsi="Arial" w:cs="Arial"/>
              </w:rPr>
              <w:t>/</w:t>
            </w:r>
            <w:r w:rsidRPr="00E32E7B" w:rsidR="005D6DF6">
              <w:rPr>
                <w:rFonts w:ascii="Arial" w:hAnsi="Arial" w:cs="Arial"/>
              </w:rPr>
              <w:t>20</w:t>
            </w:r>
            <w:r w:rsidR="003F37BA">
              <w:rPr>
                <w:rFonts w:ascii="Arial" w:hAnsi="Arial" w:cs="Arial"/>
              </w:rPr>
              <w:t>21</w:t>
            </w:r>
            <w:r w:rsidRPr="00E32E7B" w:rsidR="00891079">
              <w:rPr>
                <w:rFonts w:ascii="Arial" w:hAnsi="Arial" w:cs="Arial"/>
              </w:rPr>
              <w:t>-</w:t>
            </w:r>
            <w:r w:rsidR="005571B9">
              <w:rPr>
                <w:rFonts w:ascii="Arial" w:hAnsi="Arial" w:cs="Arial"/>
              </w:rPr>
              <w:t>31</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3F37BA">
        <w:rPr>
          <w:rFonts w:ascii="Arial" w:hAnsi="Arial" w:eastAsia="Times New Roman" w:cs="Arial"/>
          <w:sz w:val="24"/>
          <w:szCs w:val="24"/>
          <w:lang w:eastAsia="hr-HR"/>
        </w:rPr>
        <w:t>20</w:t>
      </w:r>
      <w:r w:rsidRPr="00E32E7B">
        <w:rPr>
          <w:rFonts w:ascii="Arial" w:hAnsi="Arial" w:eastAsia="Times New Roman" w:cs="Arial"/>
          <w:sz w:val="24"/>
          <w:szCs w:val="24"/>
          <w:lang w:eastAsia="hr-HR"/>
        </w:rPr>
        <w:t xml:space="preserve">. </w:t>
      </w:r>
      <w:r w:rsidR="003F37BA">
        <w:rPr>
          <w:rFonts w:ascii="Arial" w:hAnsi="Arial" w:eastAsia="Times New Roman" w:cs="Arial"/>
          <w:sz w:val="24"/>
          <w:szCs w:val="24"/>
          <w:lang w:eastAsia="hr-HR"/>
        </w:rPr>
        <w:t>prosinca</w:t>
      </w:r>
      <w:r w:rsidRPr="00E32E7B" w:rsidR="005D6DF6">
        <w:rPr>
          <w:rFonts w:ascii="Arial" w:hAnsi="Arial" w:eastAsia="Times New Roman" w:cs="Arial"/>
          <w:sz w:val="24"/>
          <w:szCs w:val="24"/>
          <w:lang w:eastAsia="hr-HR"/>
        </w:rPr>
        <w:t xml:space="preserve"> 202</w:t>
      </w:r>
      <w:r w:rsidRPr="00E32E7B" w:rsidR="008E2C4D">
        <w:rPr>
          <w:rFonts w:ascii="Arial" w:hAnsi="Arial" w:eastAsia="Times New Roman" w:cs="Arial"/>
          <w:sz w:val="24"/>
          <w:szCs w:val="24"/>
          <w:lang w:eastAsia="hr-HR"/>
        </w:rPr>
        <w:t>1</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C95C62" w:rsidR="003F37BA">
        <w:rPr>
          <w:rFonts w:ascii="Arial" w:hAnsi="Arial" w:eastAsia="Times New Roman" w:cs="Arial"/>
          <w:sz w:val="24"/>
          <w:szCs w:val="24"/>
          <w:lang w:eastAsia="hr-HR"/>
        </w:rPr>
        <w:t xml:space="preserve">LEVELLA j.d.o.o. u stečaju, Turčišće </w:t>
      </w:r>
      <w:r w:rsidRPr="003431F5" w:rsidR="003F37BA">
        <w:rPr>
          <w:rFonts w:ascii="Arial" w:hAnsi="Arial" w:eastAsia="Times New Roman" w:cs="Arial"/>
          <w:sz w:val="24"/>
          <w:szCs w:val="24"/>
          <w:lang w:eastAsia="hr-HR"/>
        </w:rPr>
        <w:t>(Općina Domašinec), Turčišće 13, OIB:26159942874</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3F37BA">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3F37BA">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glasn</w:t>
      </w:r>
      <w:r w:rsidR="0065157B">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ploč</w:t>
      </w:r>
      <w:r w:rsidR="0065157B">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dana </w:t>
      </w:r>
      <w:r w:rsidRPr="00E32E7B" w:rsidR="003339C2">
        <w:rPr>
          <w:rFonts w:ascii="Arial" w:hAnsi="Arial" w:eastAsia="Times New Roman" w:cs="Arial"/>
          <w:sz w:val="24"/>
          <w:szCs w:val="24"/>
          <w:lang w:eastAsia="hr-HR"/>
        </w:rPr>
        <w:t>2</w:t>
      </w:r>
      <w:r w:rsidR="003F37BA">
        <w:rPr>
          <w:rFonts w:ascii="Arial" w:hAnsi="Arial" w:eastAsia="Times New Roman" w:cs="Arial"/>
          <w:sz w:val="24"/>
          <w:szCs w:val="24"/>
          <w:lang w:eastAsia="hr-HR"/>
        </w:rPr>
        <w:t>1</w:t>
      </w:r>
      <w:r w:rsidRPr="00E32E7B">
        <w:rPr>
          <w:rFonts w:ascii="Arial" w:hAnsi="Arial" w:eastAsia="Times New Roman" w:cs="Arial"/>
          <w:sz w:val="24"/>
          <w:szCs w:val="24"/>
          <w:lang w:eastAsia="hr-HR"/>
        </w:rPr>
        <w:t xml:space="preserve">. </w:t>
      </w:r>
      <w:r w:rsidR="003F37BA">
        <w:rPr>
          <w:rFonts w:ascii="Arial" w:hAnsi="Arial" w:eastAsia="Times New Roman" w:cs="Arial"/>
          <w:sz w:val="24"/>
          <w:szCs w:val="24"/>
          <w:lang w:eastAsia="hr-HR"/>
        </w:rPr>
        <w:t>rujna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3F37BA">
        <w:rPr>
          <w:rFonts w:ascii="Arial" w:hAnsi="Arial" w:eastAsia="Times New Roman" w:cs="Arial"/>
          <w:sz w:val="24"/>
          <w:szCs w:val="24"/>
          <w:lang w:eastAsia="hr-HR"/>
        </w:rPr>
        <w:t>1</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3F37BA">
        <w:rPr>
          <w:rFonts w:ascii="Arial" w:hAnsi="Arial" w:eastAsia="Times New Roman" w:cs="Arial"/>
          <w:sz w:val="24"/>
          <w:szCs w:val="24"/>
          <w:lang w:eastAsia="hr-HR"/>
        </w:rPr>
        <w:t>Lidia Belamarić</w:t>
      </w:r>
      <w:r w:rsidRPr="00E32E7B" w:rsidR="003D557F">
        <w:rPr>
          <w:rFonts w:ascii="Arial" w:hAnsi="Arial" w:eastAsia="Times New Roman" w:cs="Arial"/>
          <w:sz w:val="24"/>
          <w:szCs w:val="24"/>
          <w:lang w:eastAsia="hr-HR"/>
        </w:rPr>
        <w:t xml:space="preserve"> </w:t>
      </w:r>
    </w:p>
    <w:p w:rsidR="0085216E" w:rsidP="0085216E" w:rsidRDefault="0085216E">
      <w:pPr>
        <w:spacing w:after="0" w:line="240" w:lineRule="auto"/>
        <w:jc w:val="both"/>
        <w:rPr>
          <w:rFonts w:ascii="Arial" w:hAnsi="Arial" w:eastAsia="Times New Roman" w:cs="Arial"/>
          <w:sz w:val="24"/>
          <w:szCs w:val="24"/>
          <w:lang w:eastAsia="hr-HR"/>
        </w:rPr>
      </w:pPr>
      <w:r w:rsidRPr="00920E59">
        <w:rPr>
          <w:rFonts w:ascii="Arial" w:hAnsi="Arial" w:eastAsia="Times New Roman" w:cs="Arial"/>
          <w:sz w:val="24"/>
          <w:szCs w:val="24"/>
          <w:lang w:eastAsia="hr-HR"/>
        </w:rPr>
        <w:t xml:space="preserve">- </w:t>
      </w:r>
      <w:r w:rsidRPr="00920E59" w:rsidR="00712D5B">
        <w:rPr>
          <w:rFonts w:ascii="Arial" w:hAnsi="Arial" w:eastAsia="Times New Roman" w:cs="Arial"/>
          <w:sz w:val="24"/>
          <w:szCs w:val="24"/>
          <w:lang w:eastAsia="hr-HR"/>
        </w:rPr>
        <w:t xml:space="preserve">za </w:t>
      </w:r>
      <w:r w:rsidRPr="00920E59" w:rsidR="00CC62D2">
        <w:rPr>
          <w:rFonts w:ascii="Arial" w:hAnsi="Arial" w:eastAsia="Times New Roman" w:cs="Arial"/>
          <w:sz w:val="24"/>
          <w:szCs w:val="24"/>
          <w:lang w:eastAsia="hr-HR"/>
        </w:rPr>
        <w:t>vjerovnika</w:t>
      </w:r>
      <w:r w:rsidRPr="00920E59">
        <w:rPr>
          <w:rFonts w:ascii="Arial" w:hAnsi="Arial" w:eastAsia="Times New Roman" w:cs="Arial"/>
          <w:sz w:val="24"/>
          <w:szCs w:val="24"/>
          <w:lang w:eastAsia="hr-HR"/>
        </w:rPr>
        <w:t xml:space="preserve"> RH</w:t>
      </w:r>
      <w:r w:rsidRPr="00920E59" w:rsidR="0065157B">
        <w:rPr>
          <w:rFonts w:ascii="Arial" w:hAnsi="Arial" w:eastAsia="Times New Roman" w:cs="Arial"/>
          <w:sz w:val="24"/>
          <w:szCs w:val="24"/>
          <w:lang w:eastAsia="hr-HR"/>
        </w:rPr>
        <w:t>:</w:t>
      </w:r>
      <w:r w:rsidRPr="00920E59">
        <w:rPr>
          <w:rFonts w:ascii="Arial" w:hAnsi="Arial" w:eastAsia="Times New Roman" w:cs="Arial"/>
          <w:sz w:val="24"/>
          <w:szCs w:val="24"/>
          <w:lang w:eastAsia="hr-HR"/>
        </w:rPr>
        <w:t xml:space="preserve"> zastupn</w:t>
      </w:r>
      <w:r w:rsidRPr="00920E59" w:rsidR="00FB3326">
        <w:rPr>
          <w:rFonts w:ascii="Arial" w:hAnsi="Arial" w:eastAsia="Times New Roman" w:cs="Arial"/>
          <w:sz w:val="24"/>
          <w:szCs w:val="24"/>
          <w:lang w:eastAsia="hr-HR"/>
        </w:rPr>
        <w:t>i</w:t>
      </w:r>
      <w:r w:rsidRPr="00920E59" w:rsidR="0065157B">
        <w:rPr>
          <w:rFonts w:ascii="Arial" w:hAnsi="Arial" w:eastAsia="Times New Roman" w:cs="Arial"/>
          <w:sz w:val="24"/>
          <w:szCs w:val="24"/>
          <w:lang w:eastAsia="hr-HR"/>
        </w:rPr>
        <w:t>ca</w:t>
      </w:r>
      <w:r w:rsidRPr="00920E59">
        <w:rPr>
          <w:rFonts w:ascii="Arial" w:hAnsi="Arial" w:eastAsia="Times New Roman" w:cs="Arial"/>
          <w:sz w:val="24"/>
          <w:szCs w:val="24"/>
          <w:lang w:eastAsia="hr-HR"/>
        </w:rPr>
        <w:t xml:space="preserve"> po zakonu </w:t>
      </w:r>
      <w:r w:rsidRPr="00920E59" w:rsidR="0065157B">
        <w:rPr>
          <w:rFonts w:ascii="Arial" w:hAnsi="Arial" w:eastAsia="Times New Roman" w:cs="Arial"/>
          <w:sz w:val="24"/>
          <w:szCs w:val="24"/>
          <w:lang w:eastAsia="hr-HR"/>
        </w:rPr>
        <w:t>Tanja Purić Stamenković</w:t>
      </w:r>
      <w:r w:rsidRPr="00920E59">
        <w:rPr>
          <w:rFonts w:ascii="Arial" w:hAnsi="Arial" w:eastAsia="Times New Roman" w:cs="Arial"/>
          <w:sz w:val="24"/>
          <w:szCs w:val="24"/>
          <w:lang w:eastAsia="hr-HR"/>
        </w:rPr>
        <w:t>, zamjeni</w:t>
      </w:r>
      <w:r w:rsidRPr="00920E59" w:rsidR="0065157B">
        <w:rPr>
          <w:rFonts w:ascii="Arial" w:hAnsi="Arial" w:eastAsia="Times New Roman" w:cs="Arial"/>
          <w:sz w:val="24"/>
          <w:szCs w:val="24"/>
          <w:lang w:eastAsia="hr-HR"/>
        </w:rPr>
        <w:t>ca</w:t>
      </w:r>
      <w:r w:rsidRPr="00920E59">
        <w:rPr>
          <w:rFonts w:ascii="Arial" w:hAnsi="Arial" w:eastAsia="Times New Roman" w:cs="Arial"/>
          <w:sz w:val="24"/>
          <w:szCs w:val="24"/>
          <w:lang w:eastAsia="hr-HR"/>
        </w:rPr>
        <w:t xml:space="preserve"> ŽDO Varaždin, Građansko upravni odjel</w:t>
      </w:r>
    </w:p>
    <w:p w:rsidRPr="00920E59" w:rsidR="00920E59" w:rsidP="0085216E" w:rsidRDefault="00920E5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za bivšeg direktora Sandija Baranašića: zamjenica punomoćnika Mateja Peharda, odvjetnička vježbenica kod odvjetnika Josipa Pintarića</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65157B">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65157B">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87"/>
        <w:gridCol w:w="1648"/>
        <w:gridCol w:w="1648"/>
        <w:gridCol w:w="1648"/>
        <w:gridCol w:w="1518"/>
      </w:tblGrid>
      <w:tr w:rsidRPr="00E32E7B" w:rsidR="00A954D4" w:rsidTr="00366BE7">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priznate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osporene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A954D4" w:rsidRDefault="00306E84">
            <w:pPr>
              <w:spacing w:after="80" w:line="240" w:lineRule="auto"/>
              <w:jc w:val="center"/>
              <w:rPr>
                <w:rFonts w:ascii="Arial" w:hAnsi="Arial" w:eastAsia="Times New Roman" w:cs="Arial"/>
                <w:sz w:val="20"/>
                <w:szCs w:val="20"/>
              </w:rPr>
            </w:pP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Napomena</w:t>
            </w:r>
          </w:p>
        </w:tc>
      </w:tr>
      <w:tr w:rsidRPr="00E32E7B" w:rsidR="000065B4" w:rsidTr="00366BE7">
        <w:trPr>
          <w:trHeight w:val="930"/>
        </w:trPr>
        <w:tc>
          <w:tcPr>
            <w:tcW w:w="344" w:type="pct"/>
            <w:tcBorders>
              <w:top w:val="single" w:color="auto" w:sz="4" w:space="0"/>
              <w:left w:val="single" w:color="auto" w:sz="4" w:space="0"/>
              <w:bottom w:val="single" w:color="auto" w:sz="4" w:space="0"/>
              <w:right w:val="single" w:color="auto" w:sz="4" w:space="0"/>
            </w:tcBorders>
            <w:hideMark/>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Republika Hrvatska, Ministarstvo financija</w:t>
            </w: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00A21674" w:rsidP="000114EC" w:rsidRDefault="00A21674">
            <w:pPr>
              <w:spacing w:after="80" w:line="240" w:lineRule="auto"/>
              <w:jc w:val="right"/>
              <w:rPr>
                <w:rFonts w:ascii="Arial" w:hAnsi="Arial" w:eastAsia="Times New Roman" w:cs="Arial"/>
                <w:color w:val="000000" w:themeColor="text1"/>
                <w:sz w:val="20"/>
                <w:szCs w:val="20"/>
              </w:rPr>
            </w:pPr>
          </w:p>
          <w:p w:rsidRPr="00E32E7B" w:rsidR="00306E84" w:rsidP="000114EC" w:rsidRDefault="003F37BA">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18.299,72</w:t>
            </w:r>
          </w:p>
          <w:p w:rsidRPr="00E32E7B" w:rsidR="00306E84" w:rsidP="000114EC" w:rsidRDefault="00306E84">
            <w:pPr>
              <w:spacing w:after="80" w:line="240" w:lineRule="auto"/>
              <w:jc w:val="right"/>
              <w:rPr>
                <w:rFonts w:ascii="Arial" w:hAnsi="Arial" w:eastAsia="Times New Roman" w:cs="Arial"/>
                <w:color w:val="000000" w:themeColor="text1"/>
                <w:sz w:val="20"/>
                <w:szCs w:val="20"/>
              </w:rPr>
            </w:pPr>
          </w:p>
        </w:tc>
        <w:tc>
          <w:tcPr>
            <w:tcW w:w="887" w:type="pct"/>
            <w:tcBorders>
              <w:top w:val="single" w:color="auto" w:sz="4" w:space="0"/>
              <w:left w:val="single" w:color="auto" w:sz="4" w:space="0"/>
              <w:bottom w:val="single" w:color="auto" w:sz="4" w:space="0"/>
              <w:right w:val="single" w:color="auto" w:sz="4" w:space="0"/>
            </w:tcBorders>
            <w:hideMark/>
          </w:tcPr>
          <w:p w:rsidR="00A21674" w:rsidP="007B628C" w:rsidRDefault="00A21674">
            <w:pPr>
              <w:spacing w:after="80" w:line="240" w:lineRule="auto"/>
              <w:jc w:val="right"/>
              <w:rPr>
                <w:rFonts w:ascii="Arial" w:hAnsi="Arial" w:eastAsia="Times New Roman" w:cs="Arial"/>
                <w:color w:val="000000" w:themeColor="text1"/>
                <w:sz w:val="20"/>
                <w:szCs w:val="20"/>
              </w:rPr>
            </w:pPr>
          </w:p>
          <w:p w:rsidRPr="00E32E7B" w:rsidR="007B628C" w:rsidP="007B628C" w:rsidRDefault="003F37BA">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18.299,72</w:t>
            </w:r>
          </w:p>
          <w:p w:rsidRPr="00E32E7B" w:rsidR="00306E84" w:rsidP="000114EC" w:rsidRDefault="00306E84">
            <w:pPr>
              <w:spacing w:after="80" w:line="240" w:lineRule="auto"/>
              <w:jc w:val="right"/>
              <w:rPr>
                <w:rFonts w:ascii="Arial" w:hAnsi="Arial" w:eastAsia="Times New Roman" w:cs="Arial"/>
                <w:color w:val="000000" w:themeColor="text1"/>
                <w:sz w:val="20"/>
                <w:szCs w:val="20"/>
              </w:rPr>
            </w:pPr>
          </w:p>
        </w:tc>
        <w:tc>
          <w:tcPr>
            <w:tcW w:w="887" w:type="pct"/>
            <w:tcBorders>
              <w:top w:val="single" w:color="auto" w:sz="4" w:space="0"/>
              <w:left w:val="single" w:color="auto" w:sz="4" w:space="0"/>
              <w:bottom w:val="single" w:color="auto" w:sz="4" w:space="0"/>
              <w:right w:val="single" w:color="auto" w:sz="4" w:space="0"/>
            </w:tcBorders>
            <w:hideMark/>
          </w:tcPr>
          <w:p w:rsidR="00080C5A" w:rsidP="003F37BA" w:rsidRDefault="00080C5A">
            <w:pPr>
              <w:spacing w:after="80" w:line="240" w:lineRule="auto"/>
              <w:jc w:val="right"/>
              <w:rPr>
                <w:rFonts w:ascii="Arial" w:hAnsi="Arial" w:eastAsia="Times New Roman" w:cs="Arial"/>
                <w:color w:val="000000" w:themeColor="text1"/>
                <w:sz w:val="20"/>
                <w:szCs w:val="20"/>
              </w:rPr>
            </w:pPr>
          </w:p>
          <w:p w:rsidRPr="00E32E7B" w:rsidR="00306E84" w:rsidP="003F37BA" w:rsidRDefault="00306E84">
            <w:pPr>
              <w:spacing w:after="80" w:line="240" w:lineRule="auto"/>
              <w:jc w:val="right"/>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r w:rsidRPr="00E32E7B" w:rsidR="000065B4" w:rsidTr="00366BE7">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6676D4" w:rsidP="00306E84" w:rsidRDefault="006676D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3F37BA">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18.299,72</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3F37BA" w:rsidRDefault="003F37BA">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18.299,72</w:t>
            </w:r>
            <w:r>
              <w:rPr>
                <w:rFonts w:ascii="Arial" w:hAnsi="Arial" w:eastAsia="Times New Roman" w:cs="Arial"/>
                <w:color w:val="000000" w:themeColor="text1"/>
                <w:sz w:val="20"/>
                <w:szCs w:val="20"/>
              </w:rPr>
              <w:fldChar w:fldCharType="end"/>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F37BA" w:rsidRDefault="00306E84">
            <w:pPr>
              <w:spacing w:after="80" w:line="240" w:lineRule="auto"/>
              <w:jc w:val="right"/>
              <w:rPr>
                <w:rFonts w:ascii="Arial" w:hAnsi="Arial" w:eastAsia="Times New Roman" w:cs="Arial"/>
                <w:color w:val="000000" w:themeColor="text1"/>
                <w:sz w:val="20"/>
                <w:szCs w:val="20"/>
              </w:rPr>
            </w:pPr>
          </w:p>
          <w:p w:rsidRPr="00E32E7B" w:rsidR="00306E84" w:rsidP="003F37BA" w:rsidRDefault="00306E84">
            <w:pPr>
              <w:spacing w:after="80" w:line="240" w:lineRule="auto"/>
              <w:jc w:val="right"/>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8D578B">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003F37BA">
        <w:rPr>
          <w:rFonts w:ascii="Arial" w:hAnsi="Arial" w:eastAsia="Times New Roman" w:cs="Arial"/>
          <w:color w:val="000000" w:themeColor="text1"/>
          <w:sz w:val="24"/>
          <w:szCs w:val="24"/>
        </w:rPr>
        <w:t>18.299,72</w:t>
      </w:r>
      <w:r w:rsidRPr="00E32E7B" w:rsidR="007B628C">
        <w:rPr>
          <w:rFonts w:ascii="Arial" w:hAnsi="Arial" w:eastAsia="Times New Roman" w:cs="Arial"/>
          <w:color w:val="000000" w:themeColor="text1"/>
          <w:sz w:val="24"/>
          <w:szCs w:val="24"/>
        </w:rPr>
        <w:t xml:space="preserve"> </w:t>
      </w:r>
      <w:r w:rsidRPr="00E32E7B">
        <w:rPr>
          <w:rFonts w:ascii="Arial" w:hAnsi="Arial" w:eastAsia="Times New Roman" w:cs="Arial"/>
          <w:color w:val="000000" w:themeColor="text1"/>
          <w:sz w:val="24"/>
          <w:szCs w:val="24"/>
          <w:lang w:eastAsia="hr-HR"/>
        </w:rPr>
        <w:t xml:space="preserve">kn,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5157B">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5157B">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0065B4"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306E84" w:rsidP="00306E84" w:rsidRDefault="003F37B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00A21674" w:rsidP="000476C7" w:rsidRDefault="00A21674">
            <w:pPr>
              <w:spacing w:after="0" w:line="240" w:lineRule="auto"/>
              <w:jc w:val="right"/>
              <w:rPr>
                <w:rFonts w:ascii="Arial" w:hAnsi="Arial" w:cs="Arial"/>
                <w:color w:val="000000" w:themeColor="text1"/>
                <w:sz w:val="20"/>
                <w:szCs w:val="20"/>
              </w:rPr>
            </w:pPr>
          </w:p>
          <w:p w:rsidRPr="00E32E7B" w:rsidR="00306E84" w:rsidP="000476C7"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37.212,99</w:t>
            </w:r>
          </w:p>
        </w:tc>
        <w:tc>
          <w:tcPr>
            <w:tcW w:w="890" w:type="pct"/>
            <w:tcBorders>
              <w:top w:val="single" w:color="auto" w:sz="4" w:space="0"/>
              <w:left w:val="single" w:color="auto" w:sz="4" w:space="0"/>
              <w:bottom w:val="single" w:color="auto" w:sz="4" w:space="0"/>
              <w:right w:val="single" w:color="auto" w:sz="4" w:space="0"/>
            </w:tcBorders>
          </w:tcPr>
          <w:p w:rsidR="00A21674" w:rsidP="000476C7" w:rsidRDefault="00A21674">
            <w:pPr>
              <w:spacing w:after="0" w:line="240" w:lineRule="auto"/>
              <w:jc w:val="right"/>
              <w:rPr>
                <w:rFonts w:ascii="Arial" w:hAnsi="Arial" w:cs="Arial"/>
                <w:color w:val="000000" w:themeColor="text1"/>
                <w:sz w:val="20"/>
                <w:szCs w:val="20"/>
              </w:rPr>
            </w:pPr>
          </w:p>
          <w:p w:rsidRPr="00E32E7B" w:rsidR="00306E84" w:rsidP="000476C7"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37.212,99</w:t>
            </w:r>
          </w:p>
        </w:tc>
        <w:tc>
          <w:tcPr>
            <w:tcW w:w="890" w:type="pct"/>
            <w:tcBorders>
              <w:top w:val="single" w:color="auto" w:sz="4" w:space="0"/>
              <w:left w:val="single" w:color="auto" w:sz="4" w:space="0"/>
              <w:bottom w:val="single" w:color="auto" w:sz="4" w:space="0"/>
              <w:right w:val="single" w:color="auto" w:sz="4" w:space="0"/>
            </w:tcBorders>
          </w:tcPr>
          <w:p w:rsidR="00080C5A" w:rsidP="003F37BA" w:rsidRDefault="00080C5A">
            <w:pPr>
              <w:spacing w:after="0" w:line="240" w:lineRule="auto"/>
              <w:jc w:val="right"/>
              <w:rPr>
                <w:rFonts w:ascii="Arial" w:hAnsi="Arial" w:cs="Arial"/>
                <w:color w:val="000000" w:themeColor="text1"/>
                <w:sz w:val="20"/>
                <w:szCs w:val="20"/>
              </w:rPr>
            </w:pPr>
          </w:p>
          <w:p w:rsidRPr="00E32E7B" w:rsidR="00306E84" w:rsidP="003F37BA" w:rsidRDefault="00306E84">
            <w:pPr>
              <w:spacing w:after="0" w:line="240" w:lineRule="auto"/>
              <w:jc w:val="right"/>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3F37BA"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3F37BA" w:rsidP="00306E84" w:rsidRDefault="003F37B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003F37BA" w:rsidP="00306E84" w:rsidRDefault="003F37B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ERA-COMMERCE d.o.o., Makarska</w:t>
            </w:r>
          </w:p>
          <w:p w:rsidRPr="00E32E7B" w:rsidR="003F37BA" w:rsidP="00306E84" w:rsidRDefault="003F37B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OIB:28609792467</w:t>
            </w:r>
          </w:p>
        </w:tc>
        <w:tc>
          <w:tcPr>
            <w:tcW w:w="890" w:type="pct"/>
            <w:tcBorders>
              <w:top w:val="single" w:color="auto" w:sz="4" w:space="0"/>
              <w:left w:val="single" w:color="auto" w:sz="4" w:space="0"/>
              <w:bottom w:val="single" w:color="auto" w:sz="4" w:space="0"/>
              <w:right w:val="single" w:color="auto" w:sz="4" w:space="0"/>
            </w:tcBorders>
          </w:tcPr>
          <w:p w:rsidR="00A21674" w:rsidP="000476C7" w:rsidRDefault="00A21674">
            <w:pPr>
              <w:spacing w:after="0" w:line="240" w:lineRule="auto"/>
              <w:jc w:val="right"/>
              <w:rPr>
                <w:rFonts w:ascii="Arial" w:hAnsi="Arial" w:cs="Arial"/>
                <w:color w:val="000000" w:themeColor="text1"/>
                <w:sz w:val="20"/>
                <w:szCs w:val="20"/>
              </w:rPr>
            </w:pPr>
          </w:p>
          <w:p w:rsidRPr="00E32E7B" w:rsidR="003F37BA" w:rsidP="0065157B"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14.543,3</w:t>
            </w:r>
            <w:r w:rsidR="0065157B">
              <w:rPr>
                <w:rFonts w:ascii="Arial" w:hAnsi="Arial" w:cs="Arial"/>
                <w:color w:val="000000" w:themeColor="text1"/>
                <w:sz w:val="20"/>
                <w:szCs w:val="20"/>
              </w:rPr>
              <w:t>8</w:t>
            </w:r>
          </w:p>
        </w:tc>
        <w:tc>
          <w:tcPr>
            <w:tcW w:w="890" w:type="pct"/>
            <w:tcBorders>
              <w:top w:val="single" w:color="auto" w:sz="4" w:space="0"/>
              <w:left w:val="single" w:color="auto" w:sz="4" w:space="0"/>
              <w:bottom w:val="single" w:color="auto" w:sz="4" w:space="0"/>
              <w:right w:val="single" w:color="auto" w:sz="4" w:space="0"/>
            </w:tcBorders>
          </w:tcPr>
          <w:p w:rsidR="00A21674" w:rsidP="000476C7" w:rsidRDefault="00A21674">
            <w:pPr>
              <w:spacing w:after="0" w:line="240" w:lineRule="auto"/>
              <w:jc w:val="right"/>
              <w:rPr>
                <w:rFonts w:ascii="Arial" w:hAnsi="Arial" w:cs="Arial"/>
                <w:color w:val="000000" w:themeColor="text1"/>
                <w:sz w:val="20"/>
                <w:szCs w:val="20"/>
              </w:rPr>
            </w:pPr>
          </w:p>
          <w:p w:rsidRPr="00E32E7B" w:rsidR="003F37BA" w:rsidP="000476C7"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14.543,38</w:t>
            </w:r>
          </w:p>
        </w:tc>
        <w:tc>
          <w:tcPr>
            <w:tcW w:w="890" w:type="pct"/>
            <w:tcBorders>
              <w:top w:val="single" w:color="auto" w:sz="4" w:space="0"/>
              <w:left w:val="single" w:color="auto" w:sz="4" w:space="0"/>
              <w:bottom w:val="single" w:color="auto" w:sz="4" w:space="0"/>
              <w:right w:val="single" w:color="auto" w:sz="4" w:space="0"/>
            </w:tcBorders>
          </w:tcPr>
          <w:p w:rsidR="00080C5A" w:rsidP="003F37BA" w:rsidRDefault="00080C5A">
            <w:pPr>
              <w:spacing w:after="0" w:line="240" w:lineRule="auto"/>
              <w:jc w:val="right"/>
              <w:rPr>
                <w:rFonts w:ascii="Arial" w:hAnsi="Arial" w:cs="Arial"/>
                <w:color w:val="000000" w:themeColor="text1"/>
                <w:sz w:val="20"/>
                <w:szCs w:val="20"/>
              </w:rPr>
            </w:pPr>
          </w:p>
          <w:p w:rsidRPr="00E32E7B" w:rsidR="003F37BA" w:rsidP="003F37BA"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F37BA" w:rsidP="00306E84" w:rsidRDefault="003F37BA">
            <w:pPr>
              <w:spacing w:after="0" w:line="240" w:lineRule="auto"/>
              <w:rPr>
                <w:rFonts w:ascii="Arial" w:hAnsi="Arial" w:cs="Arial"/>
                <w:color w:val="000000" w:themeColor="text1"/>
                <w:sz w:val="20"/>
                <w:szCs w:val="20"/>
              </w:rPr>
            </w:pPr>
          </w:p>
        </w:tc>
      </w:tr>
      <w:tr w:rsidRPr="00E32E7B" w:rsidR="000065B4"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00306E84" w:rsidP="000476C7" w:rsidRDefault="00306E84">
            <w:pPr>
              <w:spacing w:after="0" w:line="240" w:lineRule="auto"/>
              <w:jc w:val="right"/>
              <w:rPr>
                <w:rFonts w:ascii="Arial" w:hAnsi="Arial" w:cs="Arial"/>
                <w:color w:val="000000" w:themeColor="text1"/>
                <w:sz w:val="20"/>
                <w:szCs w:val="20"/>
              </w:rPr>
            </w:pPr>
          </w:p>
          <w:p w:rsidRPr="00E32E7B" w:rsidR="003F37BA" w:rsidP="0065157B"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51.756,3</w:t>
            </w:r>
            <w:r>
              <w:rPr>
                <w:rFonts w:ascii="Arial" w:hAnsi="Arial" w:cs="Arial"/>
                <w:color w:val="000000" w:themeColor="text1"/>
                <w:sz w:val="20"/>
                <w:szCs w:val="20"/>
              </w:rPr>
              <w:fldChar w:fldCharType="end"/>
            </w:r>
            <w:r w:rsidR="0065157B">
              <w:rPr>
                <w:rFonts w:ascii="Arial" w:hAnsi="Arial" w:cs="Arial"/>
                <w:color w:val="000000" w:themeColor="text1"/>
                <w:sz w:val="20"/>
                <w:szCs w:val="20"/>
              </w:rPr>
              <w:t>7</w:t>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00306E84" w:rsidP="000476C7" w:rsidRDefault="00306E84">
            <w:pPr>
              <w:spacing w:after="0" w:line="240" w:lineRule="auto"/>
              <w:jc w:val="right"/>
              <w:rPr>
                <w:rFonts w:ascii="Arial" w:hAnsi="Arial" w:cs="Arial"/>
                <w:color w:val="000000" w:themeColor="text1"/>
                <w:sz w:val="20"/>
                <w:szCs w:val="20"/>
              </w:rPr>
            </w:pPr>
          </w:p>
          <w:p w:rsidRPr="00E32E7B" w:rsidR="003F37BA" w:rsidP="000476C7" w:rsidRDefault="003F37BA">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51.756,37</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3F37BA" w:rsidRDefault="0036250D">
            <w:pPr>
              <w:spacing w:after="0" w:line="240" w:lineRule="auto"/>
              <w:jc w:val="right"/>
              <w:rPr>
                <w:rFonts w:ascii="Arial" w:hAnsi="Arial" w:cs="Arial"/>
                <w:color w:val="000000" w:themeColor="text1"/>
                <w:sz w:val="20"/>
                <w:szCs w:val="20"/>
              </w:rPr>
            </w:pPr>
          </w:p>
          <w:p w:rsidRPr="00E32E7B" w:rsidR="00306E84" w:rsidP="003F37BA" w:rsidRDefault="00306E84">
            <w:pPr>
              <w:spacing w:after="0" w:line="240" w:lineRule="auto"/>
              <w:jc w:val="right"/>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Pr="003F37BA" w:rsidR="003F37BA">
        <w:rPr>
          <w:rFonts w:ascii="Arial" w:hAnsi="Arial" w:cs="Arial"/>
          <w:color w:val="000000" w:themeColor="text1"/>
          <w:sz w:val="24"/>
          <w:szCs w:val="24"/>
        </w:rPr>
        <w:t>51.756,3</w:t>
      </w:r>
      <w:r w:rsidR="0065157B">
        <w:rPr>
          <w:rFonts w:ascii="Arial" w:hAnsi="Arial" w:cs="Arial"/>
          <w:color w:val="000000" w:themeColor="text1"/>
          <w:sz w:val="24"/>
          <w:szCs w:val="24"/>
        </w:rPr>
        <w:t>7</w:t>
      </w:r>
      <w:r w:rsidRPr="00E32E7B" w:rsidR="00E112C8">
        <w:rPr>
          <w:rFonts w:ascii="Arial" w:hAnsi="Arial" w:cs="Arial"/>
          <w:color w:val="000000" w:themeColor="text1"/>
          <w:sz w:val="24"/>
          <w:szCs w:val="24"/>
        </w:rPr>
        <w:t xml:space="preserve"> </w:t>
      </w:r>
      <w:r w:rsidRPr="00E32E7B">
        <w:rPr>
          <w:rFonts w:ascii="Arial" w:hAnsi="Arial" w:eastAsia="Times New Roman" w:cs="Arial"/>
          <w:color w:val="000000" w:themeColor="text1"/>
          <w:sz w:val="24"/>
          <w:szCs w:val="24"/>
          <w:lang w:eastAsia="hr-HR"/>
        </w:rPr>
        <w:t xml:space="preserve">kn, te će se sačiniti posebna tablica 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Pr="00E32E7B" w:rsidR="00E112C8">
        <w:rPr>
          <w:rFonts w:ascii="Arial" w:hAnsi="Arial" w:eastAsia="Times New Roman" w:cs="Arial"/>
          <w:sz w:val="24"/>
          <w:szCs w:val="24"/>
          <w:lang w:eastAsia="hr-HR"/>
        </w:rPr>
        <w:t>2</w:t>
      </w:r>
      <w:r w:rsidR="003F37BA">
        <w:rPr>
          <w:rFonts w:ascii="Arial" w:hAnsi="Arial" w:eastAsia="Times New Roman" w:cs="Arial"/>
          <w:sz w:val="24"/>
          <w:szCs w:val="24"/>
          <w:lang w:eastAsia="hr-HR"/>
        </w:rPr>
        <w:t>1</w:t>
      </w:r>
      <w:r w:rsidRPr="00E32E7B" w:rsidR="00B10E42">
        <w:rPr>
          <w:rFonts w:ascii="Arial" w:hAnsi="Arial" w:eastAsia="Times New Roman" w:cs="Arial"/>
          <w:sz w:val="24"/>
          <w:szCs w:val="24"/>
          <w:lang w:eastAsia="hr-HR"/>
        </w:rPr>
        <w:t xml:space="preserve">. </w:t>
      </w:r>
      <w:r w:rsidR="003F37BA">
        <w:rPr>
          <w:rFonts w:ascii="Arial" w:hAnsi="Arial" w:eastAsia="Times New Roman" w:cs="Arial"/>
          <w:sz w:val="24"/>
          <w:szCs w:val="24"/>
          <w:lang w:eastAsia="hr-HR"/>
        </w:rPr>
        <w:t>rujna</w:t>
      </w:r>
      <w:r w:rsidRPr="00E32E7B" w:rsidR="00B10E42">
        <w:rPr>
          <w:rFonts w:ascii="Arial" w:hAnsi="Arial" w:eastAsia="Times New Roman" w:cs="Arial"/>
          <w:sz w:val="24"/>
          <w:szCs w:val="24"/>
          <w:lang w:eastAsia="hr-HR"/>
        </w:rPr>
        <w:t xml:space="preserve"> 202</w:t>
      </w:r>
      <w:r w:rsidR="003F37BA">
        <w:rPr>
          <w:rFonts w:ascii="Arial" w:hAnsi="Arial" w:eastAsia="Times New Roman" w:cs="Arial"/>
          <w:sz w:val="24"/>
          <w:szCs w:val="24"/>
          <w:lang w:eastAsia="hr-HR"/>
        </w:rPr>
        <w:t>1</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3F37BA">
        <w:rPr>
          <w:rFonts w:ascii="Arial" w:hAnsi="Arial" w:eastAsia="Times New Roman" w:cs="Arial"/>
          <w:color w:val="000000" w:themeColor="text1"/>
          <w:sz w:val="24"/>
          <w:szCs w:val="24"/>
          <w:lang w:eastAsia="hr-HR"/>
        </w:rPr>
        <w:t>8</w:t>
      </w:r>
      <w:r w:rsidRPr="00E32E7B">
        <w:rPr>
          <w:rFonts w:ascii="Arial" w:hAnsi="Arial" w:eastAsia="Times New Roman" w:cs="Arial"/>
          <w:color w:val="000000" w:themeColor="text1"/>
          <w:sz w:val="24"/>
          <w:szCs w:val="24"/>
          <w:lang w:eastAsia="hr-HR"/>
        </w:rPr>
        <w:t xml:space="preserve">. </w:t>
      </w:r>
      <w:r w:rsidR="003F37BA">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2021</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8D578B" w:rsidR="00DC24BE" w:rsidP="00DC24BE" w:rsidRDefault="00DC24BE">
      <w:pPr>
        <w:spacing w:after="0" w:line="240" w:lineRule="auto"/>
        <w:jc w:val="both"/>
        <w:rPr>
          <w:rFonts w:ascii="Arial" w:hAnsi="Arial" w:eastAsia="Times New Roman" w:cs="Arial"/>
          <w:sz w:val="24"/>
          <w:szCs w:val="24"/>
          <w:lang w:eastAsia="hr-HR"/>
        </w:rPr>
      </w:pPr>
      <w:r w:rsidRPr="008D578B">
        <w:rPr>
          <w:rFonts w:ascii="Arial" w:hAnsi="Arial" w:eastAsia="Times New Roman" w:cs="Arial"/>
          <w:sz w:val="24"/>
          <w:szCs w:val="24"/>
          <w:lang w:eastAsia="hr-HR"/>
        </w:rPr>
        <w:t xml:space="preserve">-  vjerovniku RH, Ministarstvo financija, utvrđena tražbina u ukupnom iznosu od </w:t>
      </w:r>
      <w:r w:rsidRPr="008D578B" w:rsidR="0065157B">
        <w:rPr>
          <w:rFonts w:ascii="Arial" w:hAnsi="Arial" w:eastAsia="Times New Roman" w:cs="Arial"/>
          <w:sz w:val="24"/>
          <w:szCs w:val="24"/>
          <w:lang w:eastAsia="hr-HR"/>
        </w:rPr>
        <w:t>55.512,71</w:t>
      </w:r>
      <w:r w:rsidRPr="008D578B">
        <w:rPr>
          <w:rFonts w:ascii="Arial" w:hAnsi="Arial" w:eastAsia="Times New Roman" w:cs="Arial"/>
          <w:sz w:val="24"/>
          <w:szCs w:val="24"/>
          <w:lang w:eastAsia="hr-HR"/>
        </w:rPr>
        <w:t xml:space="preserve"> kn</w:t>
      </w:r>
      <w:r w:rsidRPr="008D578B" w:rsidR="008D578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65157B">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lastRenderedPageBreak/>
        <w:tab/>
      </w:r>
      <w:r w:rsidR="008D578B">
        <w:rPr>
          <w:rFonts w:ascii="Arial" w:hAnsi="Arial" w:eastAsia="Times New Roman" w:cs="Arial"/>
          <w:sz w:val="24"/>
          <w:szCs w:val="24"/>
          <w:lang w:eastAsia="hr-HR"/>
        </w:rPr>
        <w:t>Stečajna upraviteljica u</w:t>
      </w:r>
      <w:r w:rsidRPr="00E32E7B" w:rsidR="00FC02D2">
        <w:rPr>
          <w:rFonts w:ascii="Arial" w:hAnsi="Arial" w:eastAsia="Times New Roman" w:cs="Arial"/>
          <w:sz w:val="24"/>
          <w:szCs w:val="24"/>
          <w:lang w:eastAsia="hr-HR"/>
        </w:rPr>
        <w:t xml:space="preserve"> bitnome </w:t>
      </w:r>
      <w:r w:rsidR="008D578B">
        <w:rPr>
          <w:rFonts w:ascii="Arial" w:hAnsi="Arial" w:eastAsia="Times New Roman" w:cs="Arial"/>
          <w:sz w:val="24"/>
          <w:szCs w:val="24"/>
          <w:lang w:eastAsia="hr-HR"/>
        </w:rPr>
        <w:t xml:space="preserve">ponavlja sve što je istaknula u svojem izvješću. </w:t>
      </w:r>
      <w:r w:rsidR="00366BE7">
        <w:rPr>
          <w:rFonts w:ascii="Arial" w:hAnsi="Arial" w:eastAsia="Times New Roman" w:cs="Arial"/>
          <w:sz w:val="24"/>
          <w:szCs w:val="24"/>
          <w:lang w:eastAsia="hr-HR"/>
        </w:rPr>
        <w:t xml:space="preserve"> </w:t>
      </w:r>
      <w:r w:rsidR="008D578B">
        <w:rPr>
          <w:rFonts w:ascii="Arial" w:hAnsi="Arial" w:eastAsia="Times New Roman" w:cs="Arial"/>
          <w:sz w:val="24"/>
          <w:szCs w:val="24"/>
          <w:lang w:eastAsia="hr-HR"/>
        </w:rPr>
        <w:t>Apostrofira da stečajnu masu čini samo jedna nekretnina koja je u naravi oranica te da će vezano uz nekretninu angažirati vještaka radi procjene te i predlaže da se nekretnina unovči putem objava na oglasnim stranicama sudačke mreže</w:t>
      </w:r>
      <w:r w:rsidR="00366BE7">
        <w:rPr>
          <w:rFonts w:ascii="Arial" w:hAnsi="Arial" w:eastAsia="Times New Roman" w:cs="Arial"/>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r w:rsidRPr="00E32E7B" w:rsidR="00DC24BE">
        <w:rPr>
          <w:rFonts w:ascii="Arial" w:hAnsi="Arial" w:eastAsia="Times New Roman" w:cs="Arial"/>
          <w:sz w:val="24"/>
          <w:szCs w:val="24"/>
          <w:lang w:eastAsia="hr-HR"/>
        </w:rPr>
        <w:t xml:space="preserve"> </w:t>
      </w:r>
      <w:r w:rsidRPr="00E32E7B" w:rsidR="00E112C8">
        <w:rPr>
          <w:rFonts w:ascii="Arial" w:hAnsi="Arial" w:eastAsia="Times New Roman" w:cs="Arial"/>
          <w:sz w:val="24"/>
          <w:szCs w:val="24"/>
          <w:lang w:eastAsia="hr-HR"/>
        </w:rPr>
        <w:t>Stečajna</w:t>
      </w:r>
      <w:r w:rsidRPr="00E32E7B" w:rsidR="00DC24BE">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sidR="00DC24BE">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3F37BA" w:rsidR="003F37BA" w:rsidP="0065157B" w:rsidRDefault="003F37BA">
      <w:pPr>
        <w:pStyle w:val="Default"/>
        <w:jc w:val="both"/>
        <w:rPr>
          <w:rFonts w:ascii="Arial" w:hAnsi="Arial" w:cs="Arial"/>
        </w:rPr>
      </w:pPr>
    </w:p>
    <w:p w:rsidRPr="003F37BA" w:rsidR="003F37BA" w:rsidP="0065157B" w:rsidRDefault="003F37BA">
      <w:pPr>
        <w:pStyle w:val="Default"/>
        <w:jc w:val="both"/>
        <w:rPr>
          <w:rFonts w:ascii="Arial" w:hAnsi="Arial" w:cs="Arial"/>
        </w:rPr>
      </w:pPr>
      <w:r>
        <w:rPr>
          <w:rFonts w:ascii="Arial" w:hAnsi="Arial" w:cs="Arial"/>
        </w:rPr>
        <w:t xml:space="preserve">1. </w:t>
      </w:r>
      <w:r w:rsidRPr="003F37BA">
        <w:rPr>
          <w:rFonts w:ascii="Arial" w:hAnsi="Arial" w:cs="Arial"/>
        </w:rPr>
        <w:t xml:space="preserve">prihvaća se u cijelosti Izvješće stečajnog upravitelja o gospodarskom položaju stečajnog dužnika i njegovim uzrocima, </w:t>
      </w:r>
    </w:p>
    <w:p w:rsidRPr="003F37BA" w:rsidR="003F37BA" w:rsidP="0065157B" w:rsidRDefault="003F37BA">
      <w:pPr>
        <w:pStyle w:val="Default"/>
        <w:jc w:val="both"/>
        <w:rPr>
          <w:rFonts w:ascii="Arial" w:hAnsi="Arial" w:cs="Arial"/>
        </w:rPr>
      </w:pPr>
      <w:r>
        <w:rPr>
          <w:rFonts w:ascii="Arial" w:hAnsi="Arial" w:cs="Arial"/>
        </w:rPr>
        <w:t>2.</w:t>
      </w:r>
      <w:r w:rsidRPr="003F37BA">
        <w:rPr>
          <w:rFonts w:ascii="Arial" w:hAnsi="Arial" w:cs="Arial"/>
        </w:rPr>
        <w:t xml:space="preserve"> utvrđuje se da nema mogućnosti da se poslovanje stečajnog dužnika nastavi ili ponovno pokrene, </w:t>
      </w:r>
    </w:p>
    <w:p w:rsidRPr="003F37BA" w:rsidR="003F37BA" w:rsidP="0065157B" w:rsidRDefault="003F37BA">
      <w:pPr>
        <w:pStyle w:val="Default"/>
        <w:jc w:val="both"/>
        <w:rPr>
          <w:rFonts w:ascii="Arial" w:hAnsi="Arial" w:cs="Arial"/>
        </w:rPr>
      </w:pPr>
      <w:r>
        <w:rPr>
          <w:rFonts w:ascii="Arial" w:hAnsi="Arial" w:cs="Arial"/>
        </w:rPr>
        <w:t>3.</w:t>
      </w:r>
      <w:r w:rsidRPr="003F37BA">
        <w:rPr>
          <w:rFonts w:ascii="Arial" w:hAnsi="Arial" w:cs="Arial"/>
        </w:rPr>
        <w:t xml:space="preserve"> prihvaćaju se do sada poduzete radnje stečajnog upravitelja, </w:t>
      </w:r>
    </w:p>
    <w:p w:rsidRPr="003F37BA" w:rsidR="003F37BA" w:rsidP="0065157B" w:rsidRDefault="003F37BA">
      <w:pPr>
        <w:pStyle w:val="Default"/>
        <w:jc w:val="both"/>
        <w:rPr>
          <w:rFonts w:ascii="Arial" w:hAnsi="Arial" w:cs="Arial"/>
        </w:rPr>
      </w:pPr>
      <w:r>
        <w:rPr>
          <w:rFonts w:ascii="Arial" w:hAnsi="Arial" w:cs="Arial"/>
        </w:rPr>
        <w:t>4.</w:t>
      </w:r>
      <w:r w:rsidRPr="003F37BA">
        <w:rPr>
          <w:rFonts w:ascii="Arial" w:hAnsi="Arial" w:cs="Arial"/>
        </w:rPr>
        <w:t xml:space="preserve"> daje se suglasnost stečajnom upravitelju da pristupi prodaji nekretnine-oranice</w:t>
      </w:r>
      <w:r w:rsidR="008D578B">
        <w:rPr>
          <w:rFonts w:ascii="Arial" w:hAnsi="Arial" w:cs="Arial"/>
        </w:rPr>
        <w:t xml:space="preserve"> i to da angažira vještaka za procjenu nekretnine te i da se nekretnina unovči putem objava na oglasnim stranicama sudačke mreže sa početnom vrijednošću kako će utvrditi vještak s time da se svakom slijedećom objavom početna cijena smanji za 20% </w:t>
      </w:r>
      <w:r w:rsidR="004F720D">
        <w:rPr>
          <w:rFonts w:ascii="Arial" w:hAnsi="Arial" w:cs="Arial"/>
        </w:rPr>
        <w:t>.</w:t>
      </w: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65157B">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Utvrđuje se da  vjerovnici (100</w:t>
      </w:r>
      <w:r w:rsidRPr="00E32E7B" w:rsidR="00DC24BE">
        <w:rPr>
          <w:rFonts w:ascii="Arial" w:hAnsi="Arial" w:eastAsia="Times New Roman" w:cs="Arial"/>
          <w:color w:val="000000" w:themeColor="text1"/>
          <w:sz w:val="24"/>
          <w:szCs w:val="24"/>
          <w:lang w:eastAsia="hr-HR"/>
        </w:rPr>
        <w:t xml:space="preserve">%)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8D578B" w:rsidP="00DC24BE" w:rsidRDefault="008D578B">
      <w:pPr>
        <w:spacing w:after="0" w:line="240" w:lineRule="auto"/>
        <w:jc w:val="center"/>
        <w:rPr>
          <w:rFonts w:ascii="Arial" w:hAnsi="Arial" w:eastAsia="Times New Roman" w:cs="Arial"/>
          <w:color w:val="000000" w:themeColor="text1"/>
          <w:sz w:val="24"/>
          <w:szCs w:val="24"/>
          <w:lang w:eastAsia="hr-HR"/>
        </w:rPr>
      </w:pPr>
    </w:p>
    <w:p w:rsidRPr="008D578B" w:rsidR="008D578B" w:rsidP="008D578B" w:rsidRDefault="008D578B">
      <w:pPr>
        <w:pStyle w:val="Default"/>
        <w:jc w:val="both"/>
        <w:rPr>
          <w:rFonts w:ascii="Arial" w:hAnsi="Arial" w:cs="Arial"/>
          <w:b/>
        </w:rPr>
      </w:pPr>
      <w:r w:rsidRPr="008D578B">
        <w:rPr>
          <w:rFonts w:ascii="Arial" w:hAnsi="Arial" w:cs="Arial"/>
          <w:b/>
        </w:rPr>
        <w:t xml:space="preserve">1. prihvaća se u cijelosti Izvješće stečajnog upravitelja o gospodarskom položaju stečajnog dužnika i njegovim uzrocima, </w:t>
      </w:r>
    </w:p>
    <w:p w:rsidRPr="008D578B" w:rsidR="008D578B" w:rsidP="008D578B" w:rsidRDefault="008D578B">
      <w:pPr>
        <w:pStyle w:val="Default"/>
        <w:jc w:val="both"/>
        <w:rPr>
          <w:rFonts w:ascii="Arial" w:hAnsi="Arial" w:cs="Arial"/>
          <w:b/>
        </w:rPr>
      </w:pPr>
      <w:r w:rsidRPr="008D578B">
        <w:rPr>
          <w:rFonts w:ascii="Arial" w:hAnsi="Arial" w:cs="Arial"/>
          <w:b/>
        </w:rPr>
        <w:t xml:space="preserve">2. utvrđuje se da nema mogućnosti da se poslovanje stečajnog dužnika nastavi ili ponovno pokrene, </w:t>
      </w:r>
    </w:p>
    <w:p w:rsidRPr="008D578B" w:rsidR="008D578B" w:rsidP="008D578B" w:rsidRDefault="008D578B">
      <w:pPr>
        <w:pStyle w:val="Default"/>
        <w:jc w:val="both"/>
        <w:rPr>
          <w:rFonts w:ascii="Arial" w:hAnsi="Arial" w:cs="Arial"/>
          <w:b/>
        </w:rPr>
      </w:pPr>
      <w:r w:rsidRPr="008D578B">
        <w:rPr>
          <w:rFonts w:ascii="Arial" w:hAnsi="Arial" w:cs="Arial"/>
          <w:b/>
        </w:rPr>
        <w:t xml:space="preserve">3. prihvaćaju se do sada poduzete radnje stečajnog upravitelja, </w:t>
      </w:r>
    </w:p>
    <w:p w:rsidRPr="008D578B" w:rsidR="008D578B" w:rsidP="008D578B" w:rsidRDefault="008D578B">
      <w:pPr>
        <w:pStyle w:val="Default"/>
        <w:jc w:val="both"/>
        <w:rPr>
          <w:rFonts w:ascii="Arial" w:hAnsi="Arial" w:cs="Arial"/>
          <w:b/>
        </w:rPr>
      </w:pPr>
      <w:r w:rsidRPr="008D578B">
        <w:rPr>
          <w:rFonts w:ascii="Arial" w:hAnsi="Arial" w:cs="Arial"/>
          <w:b/>
        </w:rPr>
        <w:lastRenderedPageBreak/>
        <w:t>4. daje se suglasnost stečajnom upravitelju da pristupi prodaji nekretnine-oranice i to da angažira vještaka za procjenu nekretnine te i da se nekretnina unovči putem objava na oglasnim stranicama sudačke mreže sa početnom vrijednošću kako će utvrditi vještak s time da se svakom slijedećom objavom početna cijena smanji za 20%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65157B" w:rsidP="00366BE7" w:rsidRDefault="0065157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0065157B" w:rsidP="00366BE7" w:rsidRDefault="0065157B">
      <w:pPr>
        <w:spacing w:after="0" w:line="240" w:lineRule="auto"/>
        <w:jc w:val="both"/>
        <w:rPr>
          <w:rFonts w:ascii="Arial" w:hAnsi="Arial" w:eastAsia="Times New Roman" w:cs="Arial"/>
          <w:sz w:val="24"/>
          <w:szCs w:val="24"/>
          <w:lang w:eastAsia="hr-HR"/>
        </w:rPr>
      </w:pPr>
    </w:p>
    <w:p w:rsidR="00366BE7" w:rsidP="00366BE7" w:rsidRDefault="0065157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skladu sa čl. 113. Stečajnog zakona naplaćen predujam za namirenje troškova stečajnog postupka u iznosu od 7.650,00 kn.</w:t>
      </w:r>
    </w:p>
    <w:p w:rsidR="00366BE7" w:rsidP="00366BE7" w:rsidRDefault="00366BE7">
      <w:pPr>
        <w:spacing w:after="0" w:line="240" w:lineRule="auto"/>
        <w:jc w:val="both"/>
        <w:rPr>
          <w:rFonts w:ascii="Arial" w:hAnsi="Arial" w:eastAsia="Times New Roman" w:cs="Arial"/>
          <w:sz w:val="24"/>
          <w:szCs w:val="24"/>
          <w:lang w:eastAsia="hr-HR"/>
        </w:rPr>
      </w:pPr>
    </w:p>
    <w:p w:rsidR="0065157B" w:rsidP="00366BE7" w:rsidRDefault="0065157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Poziva se stečajna upraviteljica da u spis dostavi broj računa stečajnog dužnika. </w:t>
      </w:r>
    </w:p>
    <w:p w:rsidR="0065157B" w:rsidP="00366BE7" w:rsidRDefault="0065157B">
      <w:pPr>
        <w:spacing w:after="0" w:line="240" w:lineRule="auto"/>
        <w:jc w:val="both"/>
        <w:rPr>
          <w:rFonts w:ascii="Arial" w:hAnsi="Arial" w:eastAsia="Times New Roman" w:cs="Arial"/>
          <w:sz w:val="24"/>
          <w:szCs w:val="24"/>
          <w:lang w:eastAsia="hr-HR"/>
        </w:rPr>
      </w:pPr>
    </w:p>
    <w:p w:rsidR="00B37B52" w:rsidP="00366BE7" w:rsidRDefault="00B37B5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Zamjenica punomoćnika bivšeg direktora izjavila da postoji zainteresirana osoba za kupnju predmetne nekretnine te da će se ista javiti nakon objave oglasa.</w:t>
      </w:r>
    </w:p>
    <w:p w:rsidR="00B37B52" w:rsidP="00366BE7" w:rsidRDefault="00B37B52">
      <w:pPr>
        <w:spacing w:after="0" w:line="240" w:lineRule="auto"/>
        <w:jc w:val="both"/>
        <w:rPr>
          <w:rFonts w:ascii="Arial" w:hAnsi="Arial" w:eastAsia="Times New Roman" w:cs="Arial"/>
          <w:sz w:val="24"/>
          <w:szCs w:val="24"/>
          <w:lang w:eastAsia="hr-HR"/>
        </w:rPr>
      </w:pPr>
    </w:p>
    <w:p w:rsidR="0065157B" w:rsidP="00366BE7" w:rsidRDefault="0065157B">
      <w:pPr>
        <w:spacing w:after="0" w:line="240" w:lineRule="auto"/>
        <w:jc w:val="both"/>
        <w:rPr>
          <w:rFonts w:ascii="Arial" w:hAnsi="Arial" w:eastAsia="Times New Roman" w:cs="Arial"/>
          <w:sz w:val="24"/>
          <w:szCs w:val="24"/>
          <w:lang w:eastAsia="hr-HR"/>
        </w:rPr>
      </w:pPr>
    </w:p>
    <w:p w:rsidRPr="00063E73" w:rsidR="00366BE7" w:rsidP="00366BE7" w:rsidRDefault="00B37B5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366BE7">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4F720D">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B37B52">
        <w:rPr>
          <w:rFonts w:ascii="Arial" w:hAnsi="Arial" w:eastAsia="Times New Roman" w:cs="Arial"/>
          <w:sz w:val="24"/>
          <w:szCs w:val="24"/>
          <w:lang w:eastAsia="hr-HR"/>
        </w:rPr>
        <w:t>45</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C3F09" w:rsidP="00501147" w:rsidRDefault="000C3F09">
      <w:pPr>
        <w:spacing w:after="0" w:line="240" w:lineRule="auto"/>
      </w:pPr>
      <w:r>
        <w:separator/>
      </w:r>
    </w:p>
  </w:endnote>
  <w:endnote w:type="continuationSeparator" w:id="0">
    <w:p w:rsidR="000C3F09" w:rsidP="00501147" w:rsidRDefault="000C3F09">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C3F09" w:rsidP="00501147" w:rsidRDefault="000C3F09">
      <w:pPr>
        <w:spacing w:after="0" w:line="240" w:lineRule="auto"/>
      </w:pPr>
      <w:r>
        <w:separator/>
      </w:r>
    </w:p>
  </w:footnote>
  <w:footnote w:type="continuationSeparator" w:id="0">
    <w:p w:rsidR="000C3F09" w:rsidP="00501147" w:rsidRDefault="000C3F09">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7B26BF">
      <w:rPr>
        <w:rFonts w:ascii="Arial" w:hAnsi="Arial" w:cs="Arial"/>
        <w:noProof/>
        <w:sz w:val="24"/>
        <w:szCs w:val="24"/>
      </w:rPr>
      <w:t>Poslovni broj: 10 St-499/2021-31</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7B26BF">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36D65"/>
    <w:rsid w:val="0004207D"/>
    <w:rsid w:val="00042298"/>
    <w:rsid w:val="000476C7"/>
    <w:rsid w:val="00071AE4"/>
    <w:rsid w:val="00080C5A"/>
    <w:rsid w:val="00087C43"/>
    <w:rsid w:val="000A3779"/>
    <w:rsid w:val="000C3F09"/>
    <w:rsid w:val="000D538B"/>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3F37BA"/>
    <w:rsid w:val="00422BA0"/>
    <w:rsid w:val="00450291"/>
    <w:rsid w:val="00456E44"/>
    <w:rsid w:val="004747E3"/>
    <w:rsid w:val="0049749B"/>
    <w:rsid w:val="004A0BD1"/>
    <w:rsid w:val="004C7EB8"/>
    <w:rsid w:val="004D3178"/>
    <w:rsid w:val="004D7D26"/>
    <w:rsid w:val="004E1C60"/>
    <w:rsid w:val="004F720D"/>
    <w:rsid w:val="00501147"/>
    <w:rsid w:val="00504323"/>
    <w:rsid w:val="00531B01"/>
    <w:rsid w:val="005571B9"/>
    <w:rsid w:val="005745EC"/>
    <w:rsid w:val="00594B82"/>
    <w:rsid w:val="005A0F8E"/>
    <w:rsid w:val="005A22FE"/>
    <w:rsid w:val="005D6DF6"/>
    <w:rsid w:val="005E1D89"/>
    <w:rsid w:val="005F633B"/>
    <w:rsid w:val="00606F1C"/>
    <w:rsid w:val="006438A3"/>
    <w:rsid w:val="0065157B"/>
    <w:rsid w:val="006609CA"/>
    <w:rsid w:val="00662134"/>
    <w:rsid w:val="006676D4"/>
    <w:rsid w:val="00685195"/>
    <w:rsid w:val="006B1E07"/>
    <w:rsid w:val="006C4130"/>
    <w:rsid w:val="006E7E61"/>
    <w:rsid w:val="007052BC"/>
    <w:rsid w:val="00712D5B"/>
    <w:rsid w:val="00713B45"/>
    <w:rsid w:val="007301A0"/>
    <w:rsid w:val="00741600"/>
    <w:rsid w:val="00752D2F"/>
    <w:rsid w:val="00757A30"/>
    <w:rsid w:val="00774898"/>
    <w:rsid w:val="007802E2"/>
    <w:rsid w:val="0078776D"/>
    <w:rsid w:val="007A409A"/>
    <w:rsid w:val="007B26BF"/>
    <w:rsid w:val="007B628C"/>
    <w:rsid w:val="008148B1"/>
    <w:rsid w:val="008215A8"/>
    <w:rsid w:val="00833A13"/>
    <w:rsid w:val="0085216E"/>
    <w:rsid w:val="00853C90"/>
    <w:rsid w:val="008659E3"/>
    <w:rsid w:val="00872442"/>
    <w:rsid w:val="00885985"/>
    <w:rsid w:val="00891079"/>
    <w:rsid w:val="00894F4D"/>
    <w:rsid w:val="008A6557"/>
    <w:rsid w:val="008C1508"/>
    <w:rsid w:val="008C4EFB"/>
    <w:rsid w:val="008C5CEC"/>
    <w:rsid w:val="008D05FD"/>
    <w:rsid w:val="008D578B"/>
    <w:rsid w:val="008E06ED"/>
    <w:rsid w:val="008E2C4D"/>
    <w:rsid w:val="00910040"/>
    <w:rsid w:val="0091280F"/>
    <w:rsid w:val="00920A60"/>
    <w:rsid w:val="00920E59"/>
    <w:rsid w:val="00923264"/>
    <w:rsid w:val="0092437B"/>
    <w:rsid w:val="00955DAB"/>
    <w:rsid w:val="00957093"/>
    <w:rsid w:val="0096157B"/>
    <w:rsid w:val="00964637"/>
    <w:rsid w:val="0096563D"/>
    <w:rsid w:val="00975368"/>
    <w:rsid w:val="00984BD4"/>
    <w:rsid w:val="009C271E"/>
    <w:rsid w:val="009D45C4"/>
    <w:rsid w:val="009D7486"/>
    <w:rsid w:val="00A21674"/>
    <w:rsid w:val="00A30AB2"/>
    <w:rsid w:val="00A31425"/>
    <w:rsid w:val="00A31587"/>
    <w:rsid w:val="00A36EF8"/>
    <w:rsid w:val="00A4541F"/>
    <w:rsid w:val="00A65E60"/>
    <w:rsid w:val="00A954D4"/>
    <w:rsid w:val="00AA1295"/>
    <w:rsid w:val="00AB4AF8"/>
    <w:rsid w:val="00AF28D9"/>
    <w:rsid w:val="00B006B4"/>
    <w:rsid w:val="00B00B9A"/>
    <w:rsid w:val="00B10018"/>
    <w:rsid w:val="00B10E42"/>
    <w:rsid w:val="00B37B52"/>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D20B98"/>
    <w:rsid w:val="00D228AD"/>
    <w:rsid w:val="00D25928"/>
    <w:rsid w:val="00D40521"/>
    <w:rsid w:val="00D42760"/>
    <w:rsid w:val="00D43FE4"/>
    <w:rsid w:val="00D50D29"/>
    <w:rsid w:val="00D61120"/>
    <w:rsid w:val="00DB5D1B"/>
    <w:rsid w:val="00DC24BE"/>
    <w:rsid w:val="00DC5347"/>
    <w:rsid w:val="00DC66A8"/>
    <w:rsid w:val="00DC70E5"/>
    <w:rsid w:val="00DD27A9"/>
    <w:rsid w:val="00DE4378"/>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2B81"/>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3F37BA"/>
    <w:pPr>
      <w:autoSpaceDE w:val="false"/>
      <w:autoSpaceDN w:val="false"/>
      <w:adjustRightInd w:val="false"/>
    </w:pPr>
    <w:rPr>
      <w:rFonts w:ascii="Symbol" w:hAnsi="Symbol" w:cs="Symbo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20. prosinca 2021.</izvorni_sadrzaj>
    <derivirana_varijabla naziv="DomainObject.StvarniPocetakDatum_1">20. prosinca 2021.</derivirana_varijabla>
  </DomainObject.StvarniPocetakDatum>
  <DomainObject.StvarniZavrsetakDatum>
    <izvorni_sadrzaj>20. prosinca 2021.</izvorni_sadrzaj>
    <derivirana_varijabla naziv="DomainObject.StvarniZavrsetakDatum_1">20. prosinca 2021.</derivirana_varijabla>
  </DomainObject.StvarniZavrsetakDatum>
  <DomainObject.PlaniraniZavrsetakDatum>
    <izvorni_sadrzaj>20. prosinca 2021.</izvorni_sadrzaj>
    <derivirana_varijabla naziv="DomainObject.PlaniraniZavrsetakDatum_1">20. prosinca 2021.</derivirana_varijabla>
  </DomainObject.PlaniraniZavrsetakDatum>
  <DomainObject.PlaniraniPocetakDatum>
    <izvorni_sadrzaj>20. prosinca 2021.</izvorni_sadrzaj>
    <derivirana_varijabla naziv="DomainObject.PlaniraniPocetakDatum_1">20. prosinca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2021.</izvorni_sadrzaj>
    <derivirana_varijabla naziv="DomainObject.Zapisnik.DatumKreiranja_1">20. prosinca 2021.</derivirana_varijabla>
  </DomainObject.Zapisnik.DatumKreiranja>
  <DomainObject.Zapisnik.ImovinskaKorist>
    <izvorni_sadrzaj/>
    <derivirana_varijabla naziv="DomainObject.Zapisnik.ImovinskaKorist_1"/>
  </DomainObject.Zapisnik.ImovinskaKorist>
  <DomainObject.Zapisnik.Oznaka>
    <izvorni_sadrzaj>St-499/2021-31</izvorni_sadrzaj>
    <derivirana_varijabla naziv="DomainObject.Zapisnik.Oznaka_1">St-499/2021-31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2021.</izvorni_sadrzaj>
    <derivirana_varijabla naziv="DomainObject.Predmet.DatumOsnivanja_1">27.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St-499/2021</izvorni_sadrzaj>
    <derivirana_varijabla naziv="DomainObject.Predmet.OznakaBroj_1">St-499/2021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LEVELLA jednostavno društvo s ograničenom odgovornošću za proizvodnju, trgovinu i usluge u stečaju</izvorni_sadrzaj>
    <derivirana_varijabla naziv="DomainObject.Predmet.ProtustrankaFormated_1">  LEVELLA jednostavno društvo s ograničenom odgovornošću za proizvodnju, trgovinu i usluge u stečaju</derivirana_varijabla>
  </DomainObject.Predmet.ProtustrankaFormated>
  <DomainObject.Predmet.ProtustrankaFormatedOIB>
    <izvorni_sadrzaj>  LEVELLA jednostavno društvo s ograničenom odgovornošću za proizvodnju, trgovinu i usluge u stečaju, OIB 26159942874</izvorni_sadrzaj>
    <derivirana_varijabla naziv="DomainObject.Predmet.ProtustrankaFormatedOIB_1">  LEVELLA jednostavno društvo s ograničenom odgovornošću za proizvodnju, trgovinu i usluge u stečaju, OIB 26159942874</derivirana_varijabla>
  </DomainObject.Predmet.ProtustrankaFormatedOIB>
  <DomainObject.Predmet.ProtustrankaFormatedWithAdress>
    <izvorni_sadrzaj> LEVELLA jednostavno društvo s ograničenom odgovornošću za proizvodnju, trgovinu i usluge u stečaju, Turčišće 13, 40000 Turčišće</izvorni_sadrzaj>
    <derivirana_varijabla naziv="DomainObject.Predmet.ProtustrankaFormatedWithAdress_1"> LEVELLA jednostavno društvo s ograničenom odgovornošću za proizvodnju, trgovinu i usluge u stečaju, Turčišće 13, 40000 Turčišće</derivirana_varijabla>
  </DomainObject.Predmet.ProtustrankaFormatedWithAdress>
  <DomainObject.Predmet.ProtustrankaFormatedWithAdressOIB>
    <izvorni_sadrzaj> LEVELLA jednostavno društvo s ograničenom odgovornošću za proizvodnju, trgovinu i usluge u stečaju, OIB 26159942874, Turčišće 13, 40000 Turčišće</izvorni_sadrzaj>
    <derivirana_varijabla naziv="DomainObject.Predmet.ProtustrankaFormatedWithAdressOIB_1"> LEVELLA jednostavno društvo s ograničenom odgovornošću za proizvodnju, trgovinu i usluge u stečaju, OIB 26159942874, Turčišće 13, 40000 Turčišće</derivirana_varijabla>
  </DomainObject.Predmet.ProtustrankaFormatedWithAdressOIB>
  <DomainObject.Predmet.ProtustrankaWithAdress>
    <izvorni_sadrzaj>LEVELLA jednostavno društvo s ograničenom odgovornošću za proizvodnju, trgovinu i usluge u stečaju Turčišće 13, 40000 Turčišće</izvorni_sadrzaj>
    <derivirana_varijabla naziv="DomainObject.Predmet.ProtustrankaWithAdress_1">LEVELLA jednostavno društvo s ograničenom odgovornošću za proizvodnju, trgovinu i usluge u stečaju Turčišće 13, 40000 Turčišće</derivirana_varijabla>
  </DomainObject.Predmet.ProtustrankaWithAdress>
  <DomainObject.Predmet.ProtustrankaWithAdressOIB>
    <izvorni_sadrzaj>LEVELLA jednostavno društvo s ograničenom odgovornošću za proizvodnju, trgovinu i usluge u stečaju, OIB 26159942874, Turčišće 13, 40000 Turčišće</izvorni_sadrzaj>
    <derivirana_varijabla naziv="DomainObject.Predmet.ProtustrankaWithAdressOIB_1">LEVELLA jednostavno društvo s ograničenom odgovornošću za proizvodnju, trgovinu i usluge u stečaju, OIB 26159942874, Turčišće 13, 40000 Turčišće</derivirana_varijabla>
  </DomainObject.Predmet.ProtustrankaWithAdressOIB>
  <DomainObject.Predmet.ProtustrankaNazivFormated>
    <izvorni_sadrzaj>LEVELLA jednostavno društvo s ograničenom odgovornošću za proizvodnju, trgovinu i usluge u stečaju</izvorni_sadrzaj>
    <derivirana_varijabla naziv="DomainObject.Predmet.ProtustrankaNazivFormated_1">LEVELLA jednostavno društvo s ograničenom odgovornošću za proizvodnju, trgovinu i usluge u stečaju</derivirana_varijabla>
  </DomainObject.Predmet.ProtustrankaNazivFormated>
  <DomainObject.Predmet.ProtustrankaNazivFormatedOIB>
    <izvorni_sadrzaj>LEVELLA jednostavno društvo s ograničenom odgovornošću za proizvodnju, trgovinu i usluge u stečaju, OIB 26159942874</izvorni_sadrzaj>
    <derivirana_varijabla naziv="DomainObject.Predmet.ProtustrankaNazivFormatedOIB_1">LEVELLA jednostavno društvo s ograničenom odgovornošću za proizvodnju, trgovinu i usluge u stečaju, OIB 26159942874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LEVELLA jednostavno društvo s ograničenom odgovornošću za proizvodnju, trgovinu i usluge u stečaju</item>
    </izvorni_sadrzaj>
    <derivirana_varijabla naziv="DomainObject.Predmet.ProtuStrankaListFormated_1">
      <item>LEVELLA jednostavno društvo s ograničenom odgovornošću za proizvodnju, trgovinu i usluge u stečaju</item>
    </derivirana_varijabla>
  </DomainObject.Predmet.ProtuStrankaListFormated>
  <DomainObject.Predmet.ProtuStrankaListFormatedOIB>
    <izvorni_sadrzaj>
      <item>LEVELLA jednostavno društvo s ograničenom odgovornošću za proizvodnju, trgovinu i usluge u stečaju, OIB 26159942874</item>
    </izvorni_sadrzaj>
    <derivirana_varijabla naziv="DomainObject.Predmet.ProtuStrankaListFormatedOIB_1">
      <item>LEVELLA jednostavno društvo s ograničenom odgovornošću za proizvodnju, trgovinu i usluge u stečaju, OIB 26159942874</item>
    </derivirana_varijabla>
  </DomainObject.Predmet.ProtuStrankaListFormatedOIB>
  <DomainObject.Predmet.ProtuStrankaListFormatedWithAdress>
    <izvorni_sadrzaj>
      <item>LEVELLA jednostavno društvo s ograničenom odgovornošću za proizvodnju, trgovinu i usluge u stečaju, Turčišće 13, 40000 Turčišće</item>
    </izvorni_sadrzaj>
    <derivirana_varijabla naziv="DomainObject.Predmet.ProtuStrankaListFormatedWithAdress_1">
      <item>LEVELLA jednostavno društvo s ograničenom odgovornošću za proizvodnju, trgovinu i usluge u stečaju, Turčišće 13, 40000 Turčišće</item>
    </derivirana_varijabla>
  </DomainObject.Predmet.ProtuStrankaListFormatedWithAdress>
  <DomainObject.Predmet.ProtuStrankaListFormatedWithAdressOIB>
    <izvorni_sadrzaj>
      <item>LEVELLA jednostavno društvo s ograničenom odgovornošću za proizvodnju, trgovinu i usluge u stečaju, OIB 26159942874, Turčišće 13, 40000 Turčišće</item>
    </izvorni_sadrzaj>
    <derivirana_varijabla naziv="DomainObject.Predmet.ProtuStrankaListFormatedWithAdressOIB_1">
      <item>LEVELLA jednostavno društvo s ograničenom odgovornošću za proizvodnju, trgovinu i usluge u stečaju, OIB 26159942874, Turčišće 13, 40000 Turčišće</item>
    </derivirana_varijabla>
  </DomainObject.Predmet.ProtuStrankaListFormatedWithAdressOIB>
  <DomainObject.Predmet.ProtuStrankaListNazivFormated>
    <izvorni_sadrzaj>
      <item>LEVELLA jednostavno društvo s ograničenom odgovornošću za proizvodnju, trgovinu i usluge u stečaju</item>
    </izvorni_sadrzaj>
    <derivirana_varijabla naziv="DomainObject.Predmet.ProtuStrankaListNazivFormated_1">
      <item>LEVELLA jednostavno društvo s ograničenom odgovornošću za proizvodnju, trgovinu i usluge u stečaju</item>
    </derivirana_varijabla>
  </DomainObject.Predmet.ProtuStrankaListNazivFormated>
  <DomainObject.Predmet.ProtuStrankaListNazivFormatedOIB>
    <izvorni_sadrzaj>
      <item>LEVELLA jednostavno društvo s ograničenom odgovornošću za proizvodnju, trgovinu i usluge u stečaju, OIB 26159942874</item>
    </izvorni_sadrzaj>
    <derivirana_varijabla naziv="DomainObject.Predmet.ProtuStrankaListNazivFormatedOIB_1">
      <item>LEVELLA jednostavno društvo s ograničenom odgovornošću za proizvodnju, trgovinu i usluge u stečaju, OIB 26159942874</item>
    </derivirana_varijabla>
  </DomainObject.Predmet.ProtuStrankaListNazivFormatedOIB>
  <DomainObject.Predmet.OstaliListFormated>
    <izvorni_sadrzaj>
      <item>Trgovački sud u Varaždinu</item>
      <item>Lidia Belamarić, st. upravitelj</item>
      <item>Lidia Belamarić, st. upravitelj</item>
    </izvorni_sadrzaj>
    <derivirana_varijabla naziv="DomainObject.Predmet.OstaliListFormated_1">
      <item>Trgovački sud u Varaždinu</item>
      <item>Lidia Belamarić, st. upravitelj</item>
      <item>Lidia Belamarić, st. upravitelj</item>
    </derivirana_varijabla>
  </DomainObject.Predmet.OstaliListFormated>
  <DomainObject.Predmet.OstaliListFormatedOIB>
    <izvorni_sadrzaj>
      <item>Trgovački sud u Varaždinu, OIB 07397915111</item>
      <item>Lidia Belamarić, st. upravitelj</item>
      <item>Lidia Belamarić, st. upravitelj</item>
    </izvorni_sadrzaj>
    <derivirana_varijabla naziv="DomainObject.Predmet.OstaliListFormatedOIB_1">
      <item>Trgovački sud u Varaždinu, OIB 07397915111</item>
      <item>Lidia Belamarić, st. upravitelj</item>
      <item>Lidia Belamarić, st. upravitelj</item>
    </derivirana_varijabla>
  </DomainObject.Predmet.OstaliListFormatedOIB>
  <DomainObject.Predmet.OstaliListFormatedWithAdress>
    <izvorni_sadrzaj>
      <item>Trgovački sud u Varaždinu, Braće Radića 2, 42000 Varaždin</item>
      <item>Lidia Belamarić, st. upravitelj</item>
      <item>Lidia Belamarić, st. upravitelj</item>
    </izvorni_sadrzaj>
    <derivirana_varijabla naziv="DomainObject.Predmet.OstaliListFormatedWithAdress_1">
      <item>Trgovački sud u Varaždinu, Braće Radića 2, 42000 Varaždin</item>
      <item>Lidia Belamarić, st. upravitelj</item>
      <item>Lidia Belamarić, st. upravitelj</item>
    </derivirana_varijabla>
  </DomainObject.Predmet.OstaliListFormatedWithAdress>
  <DomainObject.Predmet.OstaliListFormatedWithAdressOIB>
    <izvorni_sadrzaj>
      <item>Trgovački sud u Varaždinu, OIB 07397915111, Braće Radića 2, 42000 Varaždin</item>
      <item>Lidia Belamarić, st. upravitelj</item>
      <item>Lidia Belamarić, st. upravitelj</item>
    </izvorni_sadrzaj>
    <derivirana_varijabla naziv="DomainObject.Predmet.OstaliListFormatedWithAdressOIB_1">
      <item>Trgovački sud u Varaždinu, OIB 07397915111, Braće Radića 2, 42000 Varaždin</item>
      <item>Lidia Belamarić, st. upravitelj</item>
      <item>Lidia Belamarić, st. upravitelj</item>
    </derivirana_varijabla>
  </DomainObject.Predmet.OstaliListFormatedWithAdressOIB>
  <DomainObject.Predmet.OstaliListNazivFormated>
    <izvorni_sadrzaj>
      <item>Trgovački sud u Varaždinu</item>
      <item>Lidia Belamarić, st. upravitelj</item>
      <item>Lidia Belamarić, st. upravitelj</item>
    </izvorni_sadrzaj>
    <derivirana_varijabla naziv="DomainObject.Predmet.OstaliListNazivFormated_1">
      <item>Trgovački sud u Varaždinu</item>
      <item>Lidia Belamarić, st. upravitelj</item>
      <item>Lidia Belamarić, st. upravitelj</item>
    </derivirana_varijabla>
  </DomainObject.Predmet.OstaliListNazivFormated>
  <DomainObject.Predmet.OstaliListNazivFormatedOIB>
    <izvorni_sadrzaj>
      <item>Trgovački sud u Varaždinu, OIB 07397915111</item>
      <item>Lidia Belamarić, st. upravitelj</item>
      <item>Lidia Belamarić, st. upravitelj</item>
    </izvorni_sadrzaj>
    <derivirana_varijabla naziv="DomainObject.Predmet.OstaliListNazivFormatedOIB_1">
      <item>Trgovački sud u Varaždinu, OIB 07397915111</item>
      <item>Lidia Belamarić, st. upravitelj</item>
      <item>Lidia Belamarić, st.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prosinca 2021.</izvorni_sadrzaj>
    <derivirana_varijabla naziv="DomainObject.Datum_1">20. prosinca 2021.</derivirana_varijabla>
  </DomainObject.Datum>
  <DomainObject.PoslovniBrojDokumenta>
    <izvorni_sadrzaj>St-499/2021-31</izvorni_sadrzaj>
    <derivirana_varijabla naziv="DomainObject.PoslovniBrojDokumenta_1">St-499/2021-31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LEVELLA jednostavno društvo s ograničenom odgovornošću za proizvodnju, trgovinu i usluge u stečaju</izvorni_sadrzaj>
    <derivirana_varijabla naziv="DomainObject.Predmet.ProtustrankaIDrugi_1">LEVELLA jednostavno društvo s ograničenom odgovornošću za proizvodnju, trgovinu i usluge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LEVELLA jednostavno društvo s ograničenom odgovornošću za proizvodnju, trgovinu i usluge u stečaju, OIB 26159942874, Turčišće 13, 40000 Turčišće</izvorni_sadrzaj>
    <derivirana_varijabla naziv="DomainObject.Predmet.ProtustrankaIDrugiAdressOIB_1">LEVELLA jednostavno društvo s ograničenom odgovornošću za proizvodnju, trgovinu i usluge u stečaju, OIB 26159942874, Turčišće 13, 40000 Turčišće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LEVELLA jednostavno društvo s ograničenom odgovornošću za proizvodnju, trgovinu i usluge u stečaju</item>
      <item>Trgovački sud u Varaždinu</item>
      <item>Lidia Belamarić, st. upravitelj</item>
      <item>Lidia Belamarić, st. upravitelj</item>
    </izvorni_sadrzaj>
    <derivirana_varijabla naziv="DomainObject.Predmet.SudioniciListNaziv_1">
      <item>Financijska agencija</item>
      <item>LEVELLA jednostavno društvo s ograničenom odgovornošću za proizvodnju, trgovinu i usluge u stečaju</item>
      <item>Trgovački sud u Varaždinu</item>
      <item>Lidia Belamarić, st. upravitelj</item>
      <item>Lidia Belamarić, st. upravitelj</item>
    </derivirana_varijabla>
  </DomainObject.Predmet.SudioniciListNaziv>
  <DomainObject.Predmet.SudioniciListAdressOIB>
    <izvorni_sadrzaj>
      <item>Financijska agencija, OIB 85821130368, Ulica grada Vukovara 70,10000 Zagreb</item>
      <item>LEVELLA jednostavno društvo s ograničenom odgovornošću za proizvodnju, trgovinu i usluge u stečaju, OIB 26159942874, Turčišće 13,40000 Turčišće</item>
      <item>Trgovački sud u Varaždinu, OIB 07397915111, Braće Radića 2,42000 Varaždin</item>
      <item>Lidia Belamarić, st. upravitelj</item>
      <item>Lidia Belamarić, st. upravitelj</item>
    </izvorni_sadrzaj>
    <derivirana_varijabla naziv="DomainObject.Predmet.SudioniciListAdressOIB_1">
      <item>Financijska agencija, OIB 85821130368, Ulica grada Vukovara 70,10000 Zagreb</item>
      <item>LEVELLA jednostavno društvo s ograničenom odgovornošću za proizvodnju, trgovinu i usluge u stečaju, OIB 26159942874, Turčišće 13,40000 Turčišće</item>
      <item>Trgovački sud u Varaždinu, OIB 07397915111, Braće Radića 2,42000 Varaždin</item>
      <item>Lidia Belamarić, st. upravitelj</item>
      <item>Lidia Belamarić, st.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26159942874</item>
      <item>, OIB 07397915111</item>
      <item>, OIB null</item>
      <item>, OIB null</item>
    </izvorni_sadrzaj>
    <derivirana_varijabla naziv="DomainObject.Predmet.SudioniciListNazivOIB_1">
      <item>, OIB 85821130368</item>
      <item>, OIB 26159942874</item>
      <item>, OIB 07397915111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2021.</izvorni_sadrzaj>
    <derivirana_varijabla naziv="DomainObject.Predmet.DatumPocetkaProcesa_1">13.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E9D5AC-709D-426C-81FD-4F3840DC8CF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1138</properties:Words>
  <properties:Characters>6306</properties:Characters>
  <properties:Lines>284</properties:Lines>
  <properties:Paragraphs>112</properties:Paragraphs>
  <properties:TotalTime>139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2021-12-20T11:46:00Z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St-499/2021-31 / Zapisnik - Ispitno ročište (St-499-21-31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